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900F" w14:textId="77777777" w:rsidR="003F0385" w:rsidRDefault="00365350">
      <w:pPr>
        <w:pStyle w:val="Title"/>
        <w:rPr>
          <w:u w:val="none"/>
        </w:rPr>
      </w:pPr>
      <w:r>
        <w:t xml:space="preserve">M E M O R A N D U </w:t>
      </w:r>
      <w:r>
        <w:rPr>
          <w:spacing w:val="-10"/>
        </w:rPr>
        <w:t>M</w:t>
      </w:r>
    </w:p>
    <w:p w14:paraId="61754938" w14:textId="77777777" w:rsidR="003F0385" w:rsidRDefault="003F0385">
      <w:pPr>
        <w:pStyle w:val="BodyText"/>
        <w:rPr>
          <w:b/>
        </w:rPr>
      </w:pPr>
    </w:p>
    <w:p w14:paraId="6B86C4E8" w14:textId="77777777" w:rsidR="003F0385" w:rsidRDefault="003F0385">
      <w:pPr>
        <w:pStyle w:val="BodyText"/>
        <w:spacing w:before="55"/>
        <w:rPr>
          <w:b/>
        </w:rPr>
      </w:pPr>
    </w:p>
    <w:p w14:paraId="2C3CE7C7" w14:textId="77777777" w:rsidR="003F0385" w:rsidRDefault="00365350">
      <w:pPr>
        <w:tabs>
          <w:tab w:val="left" w:pos="1439"/>
          <w:tab w:val="left" w:pos="2352"/>
          <w:tab w:val="left" w:pos="3648"/>
          <w:tab w:val="left" w:pos="4783"/>
          <w:tab w:val="left" w:pos="6276"/>
          <w:tab w:val="left" w:pos="7625"/>
          <w:tab w:val="left" w:pos="8297"/>
          <w:tab w:val="left" w:pos="9516"/>
        </w:tabs>
        <w:ind w:left="1440" w:right="101" w:hanging="1081"/>
        <w:rPr>
          <w:b/>
        </w:rPr>
      </w:pPr>
      <w:r>
        <w:rPr>
          <w:b/>
          <w:spacing w:val="-4"/>
        </w:rPr>
        <w:t>To:</w:t>
      </w:r>
      <w:r>
        <w:rPr>
          <w:b/>
        </w:rPr>
        <w:tab/>
      </w:r>
      <w:r>
        <w:rPr>
          <w:b/>
          <w:spacing w:val="-2"/>
        </w:rPr>
        <w:t>Cities,</w:t>
      </w:r>
      <w:r>
        <w:rPr>
          <w:b/>
        </w:rPr>
        <w:tab/>
      </w:r>
      <w:r>
        <w:rPr>
          <w:b/>
          <w:spacing w:val="-2"/>
        </w:rPr>
        <w:t>Counties,</w:t>
      </w:r>
      <w:r>
        <w:rPr>
          <w:b/>
        </w:rPr>
        <w:tab/>
      </w:r>
      <w:r>
        <w:rPr>
          <w:b/>
          <w:spacing w:val="-2"/>
        </w:rPr>
        <w:t>Housing</w:t>
      </w:r>
      <w:r>
        <w:rPr>
          <w:b/>
        </w:rPr>
        <w:tab/>
      </w:r>
      <w:r>
        <w:rPr>
          <w:b/>
          <w:spacing w:val="-2"/>
        </w:rPr>
        <w:t>Authorities,</w:t>
      </w:r>
      <w:r>
        <w:rPr>
          <w:b/>
        </w:rPr>
        <w:tab/>
      </w:r>
      <w:r>
        <w:rPr>
          <w:b/>
          <w:spacing w:val="-2"/>
        </w:rPr>
        <w:t>Non-Profit</w:t>
      </w:r>
      <w:r>
        <w:rPr>
          <w:b/>
        </w:rPr>
        <w:tab/>
      </w:r>
      <w:r>
        <w:rPr>
          <w:b/>
          <w:spacing w:val="-4"/>
        </w:rPr>
        <w:t>and</w:t>
      </w:r>
      <w:r>
        <w:rPr>
          <w:b/>
        </w:rPr>
        <w:tab/>
      </w:r>
      <w:r>
        <w:rPr>
          <w:b/>
          <w:spacing w:val="-2"/>
        </w:rPr>
        <w:t>For-Profit</w:t>
      </w:r>
      <w:r>
        <w:rPr>
          <w:b/>
        </w:rPr>
        <w:tab/>
      </w:r>
      <w:r>
        <w:rPr>
          <w:b/>
          <w:spacing w:val="-6"/>
        </w:rPr>
        <w:t xml:space="preserve">Housing </w:t>
      </w:r>
      <w:r>
        <w:rPr>
          <w:b/>
          <w:spacing w:val="-2"/>
        </w:rPr>
        <w:t>Developers</w:t>
      </w:r>
    </w:p>
    <w:p w14:paraId="37947B8F" w14:textId="77777777" w:rsidR="003F0385" w:rsidRDefault="00365350">
      <w:pPr>
        <w:tabs>
          <w:tab w:val="left" w:pos="1424"/>
        </w:tabs>
        <w:spacing w:before="123" w:line="360" w:lineRule="auto"/>
        <w:ind w:left="361" w:right="1815" w:hanging="1"/>
        <w:rPr>
          <w:b/>
        </w:rPr>
      </w:pPr>
      <w:r>
        <w:rPr>
          <w:b/>
          <w:spacing w:val="-2"/>
        </w:rPr>
        <w:t>From:</w:t>
      </w:r>
      <w:r>
        <w:rPr>
          <w:b/>
        </w:rPr>
        <w:tab/>
      </w:r>
      <w:r>
        <w:rPr>
          <w:b/>
          <w:spacing w:val="-47"/>
        </w:rPr>
        <w:t xml:space="preserve"> </w:t>
      </w:r>
      <w:r>
        <w:rPr>
          <w:b/>
        </w:rPr>
        <w:t>Tammy</w:t>
      </w:r>
      <w:r>
        <w:rPr>
          <w:b/>
          <w:spacing w:val="-15"/>
        </w:rPr>
        <w:t xml:space="preserve"> </w:t>
      </w:r>
      <w:r>
        <w:rPr>
          <w:b/>
        </w:rPr>
        <w:t>Brandt,</w:t>
      </w:r>
      <w:r>
        <w:rPr>
          <w:b/>
          <w:spacing w:val="-15"/>
        </w:rPr>
        <w:t xml:space="preserve"> </w:t>
      </w:r>
      <w:r>
        <w:rPr>
          <w:b/>
        </w:rPr>
        <w:t>Director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Housing</w:t>
      </w:r>
      <w:r>
        <w:rPr>
          <w:b/>
          <w:spacing w:val="-16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Neighborhood</w:t>
      </w:r>
      <w:r>
        <w:rPr>
          <w:b/>
          <w:spacing w:val="-15"/>
        </w:rPr>
        <w:t xml:space="preserve"> </w:t>
      </w:r>
      <w:r>
        <w:rPr>
          <w:b/>
        </w:rPr>
        <w:t xml:space="preserve">Development </w:t>
      </w:r>
      <w:r>
        <w:rPr>
          <w:b/>
          <w:spacing w:val="-2"/>
        </w:rPr>
        <w:t>Subject:</w:t>
      </w:r>
      <w:r>
        <w:rPr>
          <w:b/>
        </w:rPr>
        <w:tab/>
      </w:r>
      <w:r>
        <w:rPr>
          <w:b/>
        </w:rPr>
        <w:t>Notice of Funding Availability 2025</w:t>
      </w:r>
    </w:p>
    <w:p w14:paraId="5654F49D" w14:textId="677F9958" w:rsidR="003F0385" w:rsidRDefault="00365350">
      <w:pPr>
        <w:tabs>
          <w:tab w:val="left" w:pos="1441"/>
        </w:tabs>
        <w:spacing w:line="313" w:lineRule="exact"/>
        <w:ind w:left="36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331AE1" wp14:editId="4A9AEC46">
                <wp:simplePos x="0" y="0"/>
                <wp:positionH relativeFrom="page">
                  <wp:posOffset>667386</wp:posOffset>
                </wp:positionH>
                <wp:positionV relativeFrom="paragraph">
                  <wp:posOffset>333377</wp:posOffset>
                </wp:positionV>
                <wp:extent cx="6438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6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1AA2A" id="Graphic 1" o:spid="_x0000_s1026" style="position:absolute;margin-left:52.55pt;margin-top:26.25pt;width:507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KPFgIAAF0EAAAOAAAAZHJzL2Uyb0RvYy54bWysVMFu2zAMvQ/YPwi6L07SIu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" path="m,l6438646,e" filled="f" strokeweight="3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Date:</w:t>
      </w:r>
      <w:r>
        <w:rPr>
          <w:b/>
        </w:rPr>
        <w:tab/>
        <w:t>July</w:t>
      </w:r>
      <w:r>
        <w:rPr>
          <w:b/>
          <w:spacing w:val="-12"/>
        </w:rPr>
        <w:t xml:space="preserve"> </w:t>
      </w:r>
      <w:r>
        <w:rPr>
          <w:b/>
        </w:rPr>
        <w:t>14</w:t>
      </w:r>
      <w:proofErr w:type="spellStart"/>
      <w:r>
        <w:rPr>
          <w:b/>
          <w:position w:val="6"/>
        </w:rPr>
        <w:t>th</w:t>
      </w:r>
      <w:proofErr w:type="spellEnd"/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</w:t>
      </w:r>
    </w:p>
    <w:p w14:paraId="143918CF" w14:textId="77777777" w:rsidR="003F0385" w:rsidRDefault="003F0385">
      <w:pPr>
        <w:pStyle w:val="BodyText"/>
        <w:rPr>
          <w:b/>
        </w:rPr>
      </w:pPr>
    </w:p>
    <w:p w14:paraId="6D7974A5" w14:textId="77777777" w:rsidR="003F0385" w:rsidRDefault="003F0385">
      <w:pPr>
        <w:pStyle w:val="BodyText"/>
        <w:spacing w:before="251"/>
        <w:rPr>
          <w:b/>
        </w:rPr>
      </w:pPr>
    </w:p>
    <w:p w14:paraId="677CC7AA" w14:textId="77777777" w:rsidR="003F0385" w:rsidRDefault="00365350">
      <w:pPr>
        <w:pStyle w:val="BodyText"/>
        <w:ind w:left="361" w:right="101"/>
      </w:pPr>
      <w:r>
        <w:t>The</w:t>
      </w:r>
      <w:r>
        <w:rPr>
          <w:spacing w:val="-5"/>
        </w:rPr>
        <w:t xml:space="preserve"> </w:t>
      </w:r>
      <w:r>
        <w:t>Wyoming</w:t>
      </w:r>
      <w:r>
        <w:rPr>
          <w:spacing w:val="-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(WCDA)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announcing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availability</w:t>
      </w:r>
      <w:r>
        <w:rPr>
          <w:spacing w:val="-8"/>
        </w:rPr>
        <w:t xml:space="preserve"> </w:t>
      </w:r>
      <w:r>
        <w:t>of funding under one source:</w:t>
      </w:r>
    </w:p>
    <w:p w14:paraId="3904A9FD" w14:textId="77777777" w:rsidR="003F0385" w:rsidRDefault="003F0385">
      <w:pPr>
        <w:pStyle w:val="BodyText"/>
      </w:pPr>
    </w:p>
    <w:p w14:paraId="02FA119A" w14:textId="77777777" w:rsidR="003F0385" w:rsidRDefault="00365350">
      <w:pPr>
        <w:ind w:left="361"/>
        <w:rPr>
          <w:b/>
        </w:rPr>
      </w:pPr>
      <w:r>
        <w:rPr>
          <w:b/>
          <w:spacing w:val="-2"/>
        </w:rPr>
        <w:t>HOME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AMERICAN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RESCUE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PLAN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(HOME-</w:t>
      </w:r>
      <w:r>
        <w:rPr>
          <w:b/>
          <w:spacing w:val="-4"/>
        </w:rPr>
        <w:t>ARP)</w:t>
      </w:r>
    </w:p>
    <w:p w14:paraId="4E81E762" w14:textId="77777777" w:rsidR="003F0385" w:rsidRDefault="003F0385">
      <w:pPr>
        <w:pStyle w:val="BodyText"/>
        <w:spacing w:before="5"/>
        <w:rPr>
          <w:b/>
        </w:rPr>
      </w:pPr>
    </w:p>
    <w:p w14:paraId="68967B69" w14:textId="77777777" w:rsidR="003F0385" w:rsidRDefault="00365350">
      <w:pPr>
        <w:pStyle w:val="BodyText"/>
        <w:ind w:left="360" w:right="101"/>
      </w:pPr>
      <w:r>
        <w:t>Wyoming</w:t>
      </w:r>
      <w:r>
        <w:rPr>
          <w:spacing w:val="-11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(WCDA)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posting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Non-Congregate Shelter (NCS) Notice of Funding Availability (NOFA).</w:t>
      </w:r>
    </w:p>
    <w:p w14:paraId="70094FB2" w14:textId="77777777" w:rsidR="003F0385" w:rsidRDefault="003F0385">
      <w:pPr>
        <w:pStyle w:val="BodyText"/>
        <w:spacing w:before="2"/>
      </w:pPr>
    </w:p>
    <w:p w14:paraId="304356BA" w14:textId="77777777" w:rsidR="003F0385" w:rsidRDefault="00365350">
      <w:pPr>
        <w:pStyle w:val="BodyText"/>
        <w:ind w:left="360"/>
      </w:pPr>
      <w:r>
        <w:t>The</w:t>
      </w:r>
      <w:r>
        <w:rPr>
          <w:spacing w:val="-15"/>
        </w:rPr>
        <w:t xml:space="preserve"> </w:t>
      </w:r>
      <w:r>
        <w:t>NOFA</w:t>
      </w:r>
      <w:r>
        <w:rPr>
          <w:spacing w:val="-13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maintain:</w:t>
      </w:r>
    </w:p>
    <w:p w14:paraId="2262E92D" w14:textId="77777777" w:rsidR="003F0385" w:rsidRDefault="003F0385">
      <w:pPr>
        <w:pStyle w:val="BodyText"/>
        <w:spacing w:before="6"/>
      </w:pPr>
    </w:p>
    <w:p w14:paraId="47982163" w14:textId="77777777" w:rsidR="003F0385" w:rsidRDefault="00365350">
      <w:pPr>
        <w:pStyle w:val="ListParagraph"/>
        <w:numPr>
          <w:ilvl w:val="0"/>
          <w:numId w:val="2"/>
        </w:numPr>
        <w:tabs>
          <w:tab w:val="left" w:pos="719"/>
        </w:tabs>
        <w:ind w:right="1074"/>
      </w:pPr>
      <w:r>
        <w:t>Non-Congregate</w:t>
      </w:r>
      <w:r>
        <w:rPr>
          <w:spacing w:val="-15"/>
        </w:rPr>
        <w:t xml:space="preserve"> </w:t>
      </w:r>
      <w:r>
        <w:t>Shelters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Qualified</w:t>
      </w:r>
      <w:r>
        <w:rPr>
          <w:spacing w:val="-10"/>
        </w:rPr>
        <w:t xml:space="preserve"> </w:t>
      </w:r>
      <w:r>
        <w:t>Populations</w:t>
      </w:r>
      <w:r>
        <w:rPr>
          <w:spacing w:val="-10"/>
        </w:rPr>
        <w:t xml:space="preserve"> </w:t>
      </w:r>
      <w:r>
        <w:t>(QPs)</w:t>
      </w:r>
      <w:r>
        <w:rPr>
          <w:spacing w:val="-15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Home Investment Partnership Program-American Rescue Plan (HOME-ARP); and</w:t>
      </w:r>
    </w:p>
    <w:p w14:paraId="3245BC17" w14:textId="77777777" w:rsidR="003F0385" w:rsidRDefault="003F0385">
      <w:pPr>
        <w:pStyle w:val="BodyText"/>
        <w:spacing w:before="6"/>
      </w:pPr>
    </w:p>
    <w:p w14:paraId="384D9220" w14:textId="77777777" w:rsidR="003F0385" w:rsidRDefault="00365350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hanging="359"/>
      </w:pPr>
      <w:r>
        <w:t>Optional</w:t>
      </w:r>
      <w:r>
        <w:rPr>
          <w:spacing w:val="-10"/>
        </w:rPr>
        <w:t xml:space="preserve"> </w:t>
      </w:r>
      <w:r>
        <w:t>Non-Congregate</w:t>
      </w:r>
      <w:r>
        <w:rPr>
          <w:spacing w:val="-9"/>
        </w:rPr>
        <w:t xml:space="preserve"> </w:t>
      </w:r>
      <w:r>
        <w:t>Shelter</w:t>
      </w:r>
      <w:r>
        <w:rPr>
          <w:spacing w:val="-9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rPr>
          <w:spacing w:val="-2"/>
        </w:rPr>
        <w:t>Services</w:t>
      </w:r>
    </w:p>
    <w:p w14:paraId="12EBB250" w14:textId="77777777" w:rsidR="003F0385" w:rsidRDefault="003F0385">
      <w:pPr>
        <w:pStyle w:val="BodyText"/>
      </w:pPr>
    </w:p>
    <w:p w14:paraId="772474FC" w14:textId="77777777" w:rsidR="003F0385" w:rsidRDefault="00365350">
      <w:pPr>
        <w:pStyle w:val="BodyText"/>
        <w:ind w:left="360" w:right="2934" w:hanging="1"/>
      </w:pPr>
      <w:r>
        <w:t>Funding</w:t>
      </w:r>
      <w:r>
        <w:rPr>
          <w:spacing w:val="-10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awarded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NOFA</w:t>
      </w:r>
      <w:r>
        <w:rPr>
          <w:spacing w:val="-1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2"/>
        </w:rPr>
        <w:t>receive:</w:t>
      </w:r>
    </w:p>
    <w:p w14:paraId="4CA8E427" w14:textId="77777777" w:rsidR="003F0385" w:rsidRDefault="00365350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2" w:line="235" w:lineRule="auto"/>
        <w:ind w:right="338" w:hanging="362"/>
      </w:pPr>
      <w:r>
        <w:t>A</w:t>
      </w:r>
      <w:r>
        <w:rPr>
          <w:spacing w:val="-1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 Non- Congregate Shelter (NCS) or acquisition and/or rehabilitation of existing structures (such as motels, nursing homes, etc.) to be converted into a Non-Congregate Shelter, </w:t>
      </w:r>
      <w:r>
        <w:rPr>
          <w:spacing w:val="-4"/>
        </w:rPr>
        <w:t>and</w:t>
      </w:r>
    </w:p>
    <w:p w14:paraId="064588B5" w14:textId="77777777" w:rsidR="003F0385" w:rsidRDefault="003F0385">
      <w:pPr>
        <w:pStyle w:val="BodyText"/>
        <w:spacing w:before="18"/>
      </w:pPr>
    </w:p>
    <w:p w14:paraId="349A47BE" w14:textId="77777777" w:rsidR="003F0385" w:rsidRDefault="00365350">
      <w:pPr>
        <w:pStyle w:val="ListParagraph"/>
        <w:numPr>
          <w:ilvl w:val="0"/>
          <w:numId w:val="1"/>
        </w:numPr>
        <w:tabs>
          <w:tab w:val="left" w:pos="720"/>
        </w:tabs>
        <w:spacing w:line="235" w:lineRule="auto"/>
        <w:ind w:left="720" w:right="866" w:hanging="361"/>
      </w:pPr>
      <w:r>
        <w:t>An</w:t>
      </w:r>
      <w:r>
        <w:rPr>
          <w:spacing w:val="-4"/>
        </w:rPr>
        <w:t xml:space="preserve"> </w:t>
      </w:r>
      <w:r>
        <w:t>optional</w:t>
      </w:r>
      <w:r>
        <w:rPr>
          <w:spacing w:val="-9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reimbursement grant to support housing stability for Qualifying Populations (QPs) in the Non- Congregate Shelter which must be spent by January 1, 2030.</w:t>
      </w:r>
    </w:p>
    <w:p w14:paraId="1DBF2283" w14:textId="77777777" w:rsidR="003F0385" w:rsidRDefault="003F0385">
      <w:pPr>
        <w:pStyle w:val="BodyText"/>
        <w:spacing w:before="2"/>
      </w:pPr>
    </w:p>
    <w:p w14:paraId="489BB0F0" w14:textId="77777777" w:rsidR="003F0385" w:rsidRDefault="00365350">
      <w:pPr>
        <w:pStyle w:val="BodyText"/>
        <w:spacing w:before="1"/>
        <w:ind w:left="359" w:right="244"/>
      </w:pPr>
      <w:r>
        <w:t>In</w:t>
      </w:r>
      <w:r>
        <w:rPr>
          <w:spacing w:val="-16"/>
        </w:rPr>
        <w:t xml:space="preserve"> </w:t>
      </w:r>
      <w:r>
        <w:t>addition,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recipient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commit</w:t>
      </w:r>
      <w:r>
        <w:rPr>
          <w:spacing w:val="-15"/>
        </w:rPr>
        <w:t xml:space="preserve"> </w:t>
      </w:r>
      <w:r>
        <w:t>HUD</w:t>
      </w:r>
      <w:r>
        <w:rPr>
          <w:spacing w:val="-17"/>
        </w:rPr>
        <w:t xml:space="preserve"> </w:t>
      </w:r>
      <w:r>
        <w:t>assistance</w:t>
      </w:r>
      <w:r>
        <w:rPr>
          <w:spacing w:val="-15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until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Environmental</w:t>
      </w:r>
      <w:r>
        <w:rPr>
          <w:spacing w:val="-15"/>
        </w:rPr>
        <w:t xml:space="preserve"> </w:t>
      </w:r>
      <w:r>
        <w:t>Review has</w:t>
      </w:r>
      <w:r>
        <w:rPr>
          <w:spacing w:val="-4"/>
        </w:rPr>
        <w:t xml:space="preserve"> </w:t>
      </w:r>
      <w:r>
        <w:t>been conducted, and HUD has approved the recipient's Request for Release of</w:t>
      </w:r>
      <w:r>
        <w:rPr>
          <w:spacing w:val="-2"/>
        </w:rPr>
        <w:t xml:space="preserve"> </w:t>
      </w:r>
      <w:r>
        <w:t>Funds (RROF). Until the RROF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certification 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approved,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 commit non-HUD funds on an activity if the activity or project would have an adverse environmental impact or limit the choice of reasonable alternatives.</w:t>
      </w:r>
    </w:p>
    <w:p w14:paraId="17DFCD9E" w14:textId="77777777" w:rsidR="003F0385" w:rsidRDefault="00365350">
      <w:pPr>
        <w:spacing w:before="119"/>
        <w:ind w:left="359" w:right="244" w:hanging="1"/>
        <w:rPr>
          <w:b/>
        </w:rPr>
      </w:pPr>
      <w:r>
        <w:rPr>
          <w:b/>
        </w:rPr>
        <w:t>Letters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Intent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received</w:t>
      </w:r>
      <w:r>
        <w:rPr>
          <w:b/>
          <w:spacing w:val="-10"/>
        </w:rPr>
        <w:t xml:space="preserve"> </w:t>
      </w:r>
      <w:r>
        <w:rPr>
          <w:b/>
        </w:rPr>
        <w:t>by</w:t>
      </w:r>
      <w:r>
        <w:rPr>
          <w:b/>
          <w:spacing w:val="-12"/>
        </w:rPr>
        <w:t xml:space="preserve"> </w:t>
      </w:r>
      <w:r>
        <w:rPr>
          <w:b/>
        </w:rPr>
        <w:t>5:00</w:t>
      </w:r>
      <w:r>
        <w:rPr>
          <w:b/>
          <w:spacing w:val="-7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MDT</w:t>
      </w:r>
      <w:r>
        <w:rPr>
          <w:b/>
          <w:spacing w:val="-10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Friday,</w:t>
      </w:r>
      <w:r>
        <w:rPr>
          <w:b/>
          <w:spacing w:val="-6"/>
        </w:rPr>
        <w:t xml:space="preserve"> </w:t>
      </w:r>
      <w:r>
        <w:rPr>
          <w:b/>
        </w:rPr>
        <w:t>August</w:t>
      </w:r>
      <w:r>
        <w:rPr>
          <w:b/>
          <w:spacing w:val="-10"/>
        </w:rPr>
        <w:t xml:space="preserve"> </w:t>
      </w:r>
      <w:r>
        <w:rPr>
          <w:b/>
        </w:rPr>
        <w:t>29,</w:t>
      </w:r>
      <w:r>
        <w:rPr>
          <w:b/>
          <w:spacing w:val="-8"/>
        </w:rPr>
        <w:t xml:space="preserve"> </w:t>
      </w:r>
      <w:r>
        <w:rPr>
          <w:b/>
        </w:rPr>
        <w:t>2025.</w:t>
      </w:r>
      <w:r>
        <w:rPr>
          <w:b/>
          <w:spacing w:val="-6"/>
        </w:rPr>
        <w:t xml:space="preserve"> </w:t>
      </w:r>
      <w:r>
        <w:rPr>
          <w:b/>
        </w:rPr>
        <w:t xml:space="preserve">Applications must be received by WCDA via the </w:t>
      </w:r>
      <w:proofErr w:type="spellStart"/>
      <w:r>
        <w:rPr>
          <w:b/>
        </w:rPr>
        <w:t>ProCorem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WorkCenter</w:t>
      </w:r>
      <w:proofErr w:type="spellEnd"/>
      <w:r>
        <w:rPr>
          <w:b/>
        </w:rPr>
        <w:t xml:space="preserve"> on or before 5:00 p.m. MDT on </w:t>
      </w:r>
      <w:r>
        <w:rPr>
          <w:b/>
          <w:u w:val="single"/>
        </w:rPr>
        <w:t>September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30,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Late</w:t>
      </w:r>
      <w:r>
        <w:rPr>
          <w:b/>
          <w:spacing w:val="-3"/>
        </w:rPr>
        <w:t xml:space="preserve"> </w:t>
      </w:r>
      <w:r>
        <w:rPr>
          <w:b/>
        </w:rPr>
        <w:t>applications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be ranked.</w:t>
      </w:r>
      <w:r>
        <w:rPr>
          <w:b/>
          <w:spacing w:val="74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anticipated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funding</w:t>
      </w:r>
      <w:r>
        <w:rPr>
          <w:b/>
          <w:spacing w:val="-2"/>
        </w:rPr>
        <w:t xml:space="preserve"> </w:t>
      </w:r>
      <w:r>
        <w:rPr>
          <w:b/>
        </w:rPr>
        <w:t>will be awarded January, 2026.</w:t>
      </w:r>
    </w:p>
    <w:p w14:paraId="7FDFE57C" w14:textId="77777777" w:rsidR="003F0385" w:rsidRDefault="003F0385">
      <w:pPr>
        <w:pStyle w:val="BodyText"/>
        <w:spacing w:before="123"/>
        <w:rPr>
          <w:b/>
        </w:rPr>
      </w:pPr>
    </w:p>
    <w:p w14:paraId="4B73C400" w14:textId="77777777" w:rsidR="003F0385" w:rsidRDefault="00365350">
      <w:pPr>
        <w:pStyle w:val="BodyText"/>
        <w:ind w:left="359" w:right="542"/>
      </w:pPr>
      <w:r>
        <w:t xml:space="preserve">The HOME-ARP Allocation Plan, HOME-ARP Substantial Amendment and Applications for </w:t>
      </w:r>
      <w:hyperlink r:id="rId5">
        <w:r>
          <w:t>this</w:t>
        </w:r>
        <w:r>
          <w:rPr>
            <w:spacing w:val="-12"/>
          </w:rPr>
          <w:t xml:space="preserve"> </w:t>
        </w:r>
        <w:r>
          <w:t>program</w:t>
        </w:r>
        <w:r>
          <w:rPr>
            <w:spacing w:val="-16"/>
          </w:rPr>
          <w:t xml:space="preserve"> </w:t>
        </w:r>
        <w:r>
          <w:t>may</w:t>
        </w:r>
        <w:r>
          <w:rPr>
            <w:spacing w:val="-17"/>
          </w:rPr>
          <w:t xml:space="preserve"> </w:t>
        </w:r>
        <w:r>
          <w:t>be</w:t>
        </w:r>
        <w:r>
          <w:rPr>
            <w:spacing w:val="-15"/>
          </w:rPr>
          <w:t xml:space="preserve"> </w:t>
        </w:r>
        <w:r>
          <w:t>downloaded</w:t>
        </w:r>
        <w:r>
          <w:rPr>
            <w:spacing w:val="-16"/>
          </w:rPr>
          <w:t xml:space="preserve"> </w:t>
        </w:r>
        <w:r>
          <w:t>from</w:t>
        </w:r>
        <w:r>
          <w:rPr>
            <w:spacing w:val="-19"/>
          </w:rPr>
          <w:t xml:space="preserve"> </w:t>
        </w:r>
        <w:r>
          <w:t>the</w:t>
        </w:r>
        <w:r>
          <w:rPr>
            <w:spacing w:val="-15"/>
          </w:rPr>
          <w:t xml:space="preserve"> </w:t>
        </w:r>
        <w:r>
          <w:t>WCDA</w:t>
        </w:r>
        <w:r>
          <w:rPr>
            <w:spacing w:val="-13"/>
          </w:rPr>
          <w:t xml:space="preserve"> </w:t>
        </w:r>
        <w:r>
          <w:t>Web</w:t>
        </w:r>
        <w:r>
          <w:rPr>
            <w:spacing w:val="-16"/>
          </w:rPr>
          <w:t xml:space="preserve"> </w:t>
        </w:r>
        <w:r>
          <w:t>page</w:t>
        </w:r>
        <w:r>
          <w:rPr>
            <w:spacing w:val="-18"/>
          </w:rPr>
          <w:t xml:space="preserve"> </w:t>
        </w:r>
        <w:r>
          <w:t>at</w:t>
        </w:r>
        <w:r>
          <w:rPr>
            <w:spacing w:val="-1"/>
          </w:rPr>
          <w:t xml:space="preserve"> </w:t>
        </w:r>
        <w:r>
          <w:rPr>
            <w:color w:val="0000FF"/>
          </w:rPr>
          <w:t>www.wyomingcda.com/ affordable-housing/</w:t>
        </w:r>
        <w:r>
          <w:t>or</w:t>
        </w:r>
        <w:r>
          <w:rPr>
            <w:spacing w:val="-8"/>
          </w:rPr>
          <w:t xml:space="preserve"> </w:t>
        </w:r>
        <w:r>
          <w:t>hard copies may be obtained by contacting the WCDA office at</w:t>
        </w:r>
      </w:hyperlink>
      <w:r>
        <w:t xml:space="preserve"> 307-265-0603 and asking for Veronica Ratigan.</w:t>
      </w:r>
    </w:p>
    <w:sectPr w:rsidR="003F0385">
      <w:type w:val="continuous"/>
      <w:pgSz w:w="12240" w:h="15840"/>
      <w:pgMar w:top="6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A7D99"/>
    <w:multiLevelType w:val="hybridMultilevel"/>
    <w:tmpl w:val="86DACEBE"/>
    <w:lvl w:ilvl="0" w:tplc="009252D0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38EA9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026909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BFE40E8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7430E1A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702F8B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2EA8564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75D6293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F97A4000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805519"/>
    <w:multiLevelType w:val="hybridMultilevel"/>
    <w:tmpl w:val="BDDC29C6"/>
    <w:lvl w:ilvl="0" w:tplc="FF0C043A">
      <w:numFmt w:val="bullet"/>
      <w:lvlText w:val=""/>
      <w:lvlJc w:val="left"/>
      <w:pPr>
        <w:ind w:left="7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BF6BF1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B33EE96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B32E99C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9636180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93CCA3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31068E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6632EDD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01241616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 w16cid:durableId="1119370727">
    <w:abstractNumId w:val="0"/>
  </w:num>
  <w:num w:numId="2" w16cid:durableId="26858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385"/>
    <w:rsid w:val="00182711"/>
    <w:rsid w:val="00365350"/>
    <w:rsid w:val="003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22D7"/>
  <w15:docId w15:val="{D7500773-C620-4154-ADDF-E73133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9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9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omingc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WCDA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Ratigan</cp:lastModifiedBy>
  <cp:revision>2</cp:revision>
  <dcterms:created xsi:type="dcterms:W3CDTF">2025-07-10T19:22:00Z</dcterms:created>
  <dcterms:modified xsi:type="dcterms:W3CDTF">2025-07-10T20:45:00Z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D:20250521174739</vt:lpwstr>
  </property>
  <property fmtid="{D5CDD505-2E9C-101B-9397-08002B2CF9AE}" pid="7" name="SmartDox GUID">
    <vt:lpwstr>3337ba72-08df-4cf3-a9af-4448a536f10f</vt:lpwstr>
  </property>
</Properties>
</file>